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4B7F0C" w:rsidRDefault="005E17D7" w:rsidP="009F53E6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РОССИЙСКАЯ ФЕДЕРАЦИЯ</w:t>
      </w: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4B7F0C" w:rsidRDefault="00A9651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НИЖНЕИРЕТСКОЕ</w:t>
      </w:r>
      <w:r w:rsidR="005E17D7" w:rsidRPr="004B7F0C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АДМИНИСТРАЦИЯ</w:t>
      </w:r>
    </w:p>
    <w:p w:rsidR="004B7F0C" w:rsidRPr="004B7F0C" w:rsidRDefault="004B7F0C" w:rsidP="00A96517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ПОСТАНОВЛЕНИЕ</w:t>
      </w:r>
    </w:p>
    <w:p w:rsidR="009F53E6" w:rsidRDefault="009F53E6" w:rsidP="004B7F0C">
      <w:pPr>
        <w:rPr>
          <w:color w:val="000000"/>
          <w:sz w:val="28"/>
          <w:szCs w:val="28"/>
        </w:rPr>
      </w:pPr>
    </w:p>
    <w:p w:rsidR="004B7F0C" w:rsidRPr="009F53E6" w:rsidRDefault="009F53E6" w:rsidP="004B7F0C">
      <w:pPr>
        <w:rPr>
          <w:color w:val="000000"/>
          <w:sz w:val="28"/>
          <w:szCs w:val="28"/>
        </w:rPr>
      </w:pPr>
      <w:r w:rsidRPr="009F53E6">
        <w:rPr>
          <w:color w:val="000000"/>
          <w:sz w:val="28"/>
          <w:szCs w:val="28"/>
        </w:rPr>
        <w:t>о</w:t>
      </w:r>
      <w:r w:rsidR="00FB33F7" w:rsidRPr="009F53E6">
        <w:rPr>
          <w:color w:val="000000"/>
          <w:sz w:val="28"/>
          <w:szCs w:val="28"/>
        </w:rPr>
        <w:t>т 17.05.2019 № 55</w:t>
      </w:r>
    </w:p>
    <w:p w:rsidR="004B7F0C" w:rsidRPr="009F53E6" w:rsidRDefault="004B7F0C" w:rsidP="004B7F0C">
      <w:pPr>
        <w:rPr>
          <w:color w:val="000000"/>
          <w:sz w:val="28"/>
          <w:szCs w:val="28"/>
        </w:rPr>
      </w:pPr>
      <w:r w:rsidRPr="009F53E6">
        <w:rPr>
          <w:color w:val="000000"/>
          <w:sz w:val="28"/>
          <w:szCs w:val="28"/>
        </w:rPr>
        <w:t>с. Нижняя Иреть</w:t>
      </w:r>
    </w:p>
    <w:p w:rsidR="005E17D7" w:rsidRPr="004B7F0C" w:rsidRDefault="005E17D7" w:rsidP="005E17D7">
      <w:pPr>
        <w:jc w:val="both"/>
        <w:rPr>
          <w:sz w:val="28"/>
          <w:szCs w:val="28"/>
        </w:rPr>
      </w:pPr>
    </w:p>
    <w:p w:rsidR="0071125E" w:rsidRDefault="001A757A" w:rsidP="004B7F0C">
      <w:pPr>
        <w:rPr>
          <w:b/>
        </w:rPr>
      </w:pPr>
      <w:r w:rsidRPr="004B7F0C">
        <w:rPr>
          <w:b/>
        </w:rPr>
        <w:t>О вн</w:t>
      </w:r>
      <w:r w:rsidR="0071125E">
        <w:rPr>
          <w:b/>
        </w:rPr>
        <w:t xml:space="preserve">есении изменений в </w:t>
      </w:r>
      <w:proofErr w:type="gramStart"/>
      <w:r w:rsidR="0071125E">
        <w:rPr>
          <w:b/>
        </w:rPr>
        <w:t>муниципальную</w:t>
      </w:r>
      <w:proofErr w:type="gramEnd"/>
    </w:p>
    <w:p w:rsidR="0071125E" w:rsidRDefault="0071125E" w:rsidP="004B7F0C">
      <w:pPr>
        <w:rPr>
          <w:b/>
        </w:rPr>
      </w:pPr>
      <w:r>
        <w:rPr>
          <w:b/>
        </w:rPr>
        <w:t>программу</w:t>
      </w:r>
      <w:r w:rsidR="007F3DCD">
        <w:rPr>
          <w:b/>
        </w:rPr>
        <w:t xml:space="preserve"> от 26.02.2019 № 20</w:t>
      </w:r>
      <w:r w:rsidR="00E72984">
        <w:rPr>
          <w:b/>
        </w:rPr>
        <w:t xml:space="preserve"> «Развитие </w:t>
      </w:r>
    </w:p>
    <w:p w:rsidR="00E72984" w:rsidRDefault="00E72984" w:rsidP="004B7F0C">
      <w:pPr>
        <w:rPr>
          <w:b/>
        </w:rPr>
      </w:pPr>
      <w:r>
        <w:rPr>
          <w:b/>
        </w:rPr>
        <w:t>дорожного</w:t>
      </w:r>
      <w:r w:rsidR="0071125E">
        <w:rPr>
          <w:b/>
        </w:rPr>
        <w:t xml:space="preserve"> </w:t>
      </w:r>
      <w:r>
        <w:rPr>
          <w:b/>
        </w:rPr>
        <w:t>хозяйства на территории Нижнеиретского</w:t>
      </w:r>
    </w:p>
    <w:p w:rsidR="00FB33F7" w:rsidRPr="00E72984" w:rsidRDefault="00E72984" w:rsidP="00FB33F7">
      <w:pPr>
        <w:rPr>
          <w:b/>
        </w:rPr>
      </w:pPr>
      <w:r>
        <w:rPr>
          <w:b/>
        </w:rPr>
        <w:t>муниципального образования на 2019-2021 годы»</w:t>
      </w:r>
      <w:r w:rsidR="00FB33F7">
        <w:rPr>
          <w:b/>
        </w:rPr>
        <w:t xml:space="preserve"> </w:t>
      </w:r>
    </w:p>
    <w:p w:rsidR="005E17D7" w:rsidRPr="009F53E6" w:rsidRDefault="005E17D7" w:rsidP="009F53E6">
      <w:pPr>
        <w:rPr>
          <w:sz w:val="28"/>
          <w:szCs w:val="28"/>
        </w:rPr>
      </w:pPr>
    </w:p>
    <w:p w:rsidR="00B25C7D" w:rsidRPr="007F2D88" w:rsidRDefault="005E17D7" w:rsidP="00A96517">
      <w:pPr>
        <w:ind w:firstLine="709"/>
        <w:jc w:val="both"/>
        <w:rPr>
          <w:sz w:val="28"/>
          <w:szCs w:val="28"/>
        </w:rPr>
      </w:pPr>
      <w:proofErr w:type="gramStart"/>
      <w:r w:rsidRPr="007F2D88">
        <w:rPr>
          <w:sz w:val="28"/>
          <w:szCs w:val="28"/>
        </w:rPr>
        <w:t xml:space="preserve">В целях повышения уровня развития </w:t>
      </w:r>
      <w:r w:rsidR="008A7585" w:rsidRPr="007F2D88">
        <w:rPr>
          <w:sz w:val="28"/>
          <w:szCs w:val="28"/>
        </w:rPr>
        <w:t>дорожного</w:t>
      </w:r>
      <w:r w:rsidRPr="007F2D88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7F2D88">
        <w:rPr>
          <w:sz w:val="28"/>
          <w:szCs w:val="28"/>
        </w:rPr>
        <w:t>Нижнеиретского</w:t>
      </w:r>
      <w:r w:rsidRPr="007F2D88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7F2D88">
        <w:rPr>
          <w:sz w:val="28"/>
          <w:szCs w:val="28"/>
        </w:rPr>
        <w:t>Нижнеиретского</w:t>
      </w:r>
      <w:r w:rsidRPr="007F2D88">
        <w:rPr>
          <w:sz w:val="28"/>
          <w:szCs w:val="28"/>
        </w:rPr>
        <w:t xml:space="preserve"> сельского поселения,  </w:t>
      </w:r>
      <w:r w:rsidR="00B25C7D" w:rsidRPr="007F2D88">
        <w:rPr>
          <w:sz w:val="28"/>
          <w:szCs w:val="28"/>
        </w:rPr>
        <w:t xml:space="preserve">утвержденным постановлением администрации </w:t>
      </w:r>
      <w:r w:rsidR="00026CA6" w:rsidRPr="007F2D88">
        <w:rPr>
          <w:sz w:val="28"/>
          <w:szCs w:val="28"/>
        </w:rPr>
        <w:t>Нижнеиретского</w:t>
      </w:r>
      <w:r w:rsidR="00B25C7D" w:rsidRPr="007F2D88">
        <w:rPr>
          <w:sz w:val="28"/>
          <w:szCs w:val="28"/>
        </w:rPr>
        <w:t xml:space="preserve"> муниципального образования</w:t>
      </w:r>
      <w:proofErr w:type="gramEnd"/>
      <w:r w:rsidR="00B25C7D" w:rsidRPr="007F2D88">
        <w:rPr>
          <w:sz w:val="28"/>
          <w:szCs w:val="28"/>
        </w:rPr>
        <w:t xml:space="preserve"> от </w:t>
      </w:r>
      <w:r w:rsidR="00A96517" w:rsidRPr="007F2D88">
        <w:rPr>
          <w:sz w:val="28"/>
          <w:szCs w:val="28"/>
        </w:rPr>
        <w:t xml:space="preserve"> 25.12.2018 №</w:t>
      </w:r>
      <w:r w:rsidR="00026CA6" w:rsidRPr="007F2D88">
        <w:rPr>
          <w:sz w:val="28"/>
          <w:szCs w:val="28"/>
        </w:rPr>
        <w:t>32</w:t>
      </w:r>
      <w:r w:rsidRPr="007F2D88">
        <w:rPr>
          <w:sz w:val="28"/>
          <w:szCs w:val="28"/>
        </w:rPr>
        <w:t xml:space="preserve">, руководствуясь статьями 6, 39, 43, Устава </w:t>
      </w:r>
      <w:r w:rsidR="00026CA6" w:rsidRPr="007F2D88">
        <w:rPr>
          <w:sz w:val="28"/>
          <w:szCs w:val="28"/>
        </w:rPr>
        <w:t>Нижнеиретского</w:t>
      </w:r>
      <w:r w:rsidRPr="007F2D88">
        <w:rPr>
          <w:sz w:val="28"/>
          <w:szCs w:val="28"/>
        </w:rPr>
        <w:t xml:space="preserve"> муниципального образования, администрация </w:t>
      </w:r>
      <w:r w:rsidR="00026CA6" w:rsidRPr="007F2D88">
        <w:rPr>
          <w:sz w:val="28"/>
          <w:szCs w:val="28"/>
        </w:rPr>
        <w:t>Нижнеиретского</w:t>
      </w:r>
      <w:r w:rsidRPr="007F2D88">
        <w:rPr>
          <w:sz w:val="28"/>
          <w:szCs w:val="28"/>
        </w:rPr>
        <w:t xml:space="preserve"> </w:t>
      </w:r>
      <w:r w:rsidR="00B25C7D" w:rsidRPr="007F2D88">
        <w:rPr>
          <w:sz w:val="28"/>
          <w:szCs w:val="28"/>
        </w:rPr>
        <w:t>муниципального образования</w:t>
      </w:r>
    </w:p>
    <w:p w:rsidR="008A7585" w:rsidRPr="007F2D88" w:rsidRDefault="008A7585" w:rsidP="008D657D">
      <w:pPr>
        <w:jc w:val="center"/>
        <w:rPr>
          <w:b/>
          <w:sz w:val="28"/>
          <w:szCs w:val="28"/>
        </w:rPr>
      </w:pPr>
    </w:p>
    <w:p w:rsidR="005E17D7" w:rsidRPr="007F2D88" w:rsidRDefault="005E17D7" w:rsidP="008D657D">
      <w:pPr>
        <w:jc w:val="center"/>
        <w:rPr>
          <w:b/>
          <w:sz w:val="28"/>
          <w:szCs w:val="28"/>
        </w:rPr>
      </w:pPr>
      <w:r w:rsidRPr="007F2D88">
        <w:rPr>
          <w:b/>
          <w:sz w:val="28"/>
          <w:szCs w:val="28"/>
        </w:rPr>
        <w:t>постановляет:</w:t>
      </w:r>
    </w:p>
    <w:p w:rsidR="00B25C7D" w:rsidRPr="007F2D88" w:rsidRDefault="00B25C7D" w:rsidP="005E17D7">
      <w:pPr>
        <w:jc w:val="center"/>
        <w:rPr>
          <w:b/>
          <w:sz w:val="28"/>
          <w:szCs w:val="28"/>
        </w:rPr>
      </w:pPr>
    </w:p>
    <w:p w:rsidR="005E17D7" w:rsidRPr="007F2D88" w:rsidRDefault="001A757A" w:rsidP="00524C28">
      <w:pPr>
        <w:pStyle w:val="aff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Внести в</w:t>
      </w:r>
      <w:r w:rsidR="0071125E" w:rsidRPr="007F2D88">
        <w:rPr>
          <w:sz w:val="28"/>
          <w:szCs w:val="28"/>
        </w:rPr>
        <w:t xml:space="preserve"> муниципальную программу Нижнеиретского сельского поселения</w:t>
      </w:r>
      <w:r w:rsidR="00B25C7D" w:rsidRPr="007F2D88">
        <w:rPr>
          <w:sz w:val="28"/>
          <w:szCs w:val="28"/>
        </w:rPr>
        <w:t xml:space="preserve"> </w:t>
      </w:r>
      <w:r w:rsidR="00B72CEC" w:rsidRPr="007F2D88">
        <w:rPr>
          <w:sz w:val="28"/>
          <w:szCs w:val="28"/>
        </w:rPr>
        <w:t>от</w:t>
      </w:r>
      <w:r w:rsidR="00E72984" w:rsidRPr="007F2D88">
        <w:rPr>
          <w:sz w:val="28"/>
          <w:szCs w:val="28"/>
        </w:rPr>
        <w:t xml:space="preserve"> </w:t>
      </w:r>
      <w:r w:rsidR="007F3DCD" w:rsidRPr="007F2D88">
        <w:rPr>
          <w:sz w:val="28"/>
          <w:szCs w:val="28"/>
        </w:rPr>
        <w:t>26</w:t>
      </w:r>
      <w:r w:rsidR="00A96517" w:rsidRPr="007F2D88">
        <w:rPr>
          <w:sz w:val="28"/>
          <w:szCs w:val="28"/>
        </w:rPr>
        <w:t>.02.2019 №</w:t>
      </w:r>
      <w:r w:rsidR="007F3DCD" w:rsidRPr="007F2D88">
        <w:rPr>
          <w:sz w:val="28"/>
          <w:szCs w:val="28"/>
        </w:rPr>
        <w:t xml:space="preserve"> 20</w:t>
      </w:r>
      <w:r w:rsidR="00E72984" w:rsidRPr="007F2D88">
        <w:rPr>
          <w:sz w:val="28"/>
          <w:szCs w:val="28"/>
        </w:rPr>
        <w:t xml:space="preserve"> </w:t>
      </w:r>
      <w:r w:rsidR="00B25C7D" w:rsidRPr="007F2D88">
        <w:rPr>
          <w:sz w:val="28"/>
          <w:szCs w:val="28"/>
        </w:rPr>
        <w:t xml:space="preserve">«Развитие </w:t>
      </w:r>
      <w:r w:rsidR="008A7585" w:rsidRPr="007F2D88">
        <w:rPr>
          <w:sz w:val="28"/>
          <w:szCs w:val="28"/>
        </w:rPr>
        <w:t>дорожного хозяйства</w:t>
      </w:r>
      <w:r w:rsidR="009D13D0" w:rsidRPr="007F2D88">
        <w:rPr>
          <w:rFonts w:eastAsia="Calibri"/>
          <w:sz w:val="28"/>
          <w:szCs w:val="28"/>
        </w:rPr>
        <w:t xml:space="preserve"> на территории </w:t>
      </w:r>
      <w:r w:rsidR="00026CA6" w:rsidRPr="007F2D88">
        <w:rPr>
          <w:rFonts w:eastAsia="Calibri"/>
          <w:sz w:val="28"/>
          <w:szCs w:val="28"/>
        </w:rPr>
        <w:t>Нижнеиретского</w:t>
      </w:r>
      <w:r w:rsidR="009D13D0" w:rsidRPr="007F2D88">
        <w:rPr>
          <w:rFonts w:eastAsia="Calibri"/>
          <w:sz w:val="28"/>
          <w:szCs w:val="28"/>
        </w:rPr>
        <w:t xml:space="preserve"> сельского поселения</w:t>
      </w:r>
      <w:r w:rsidR="00026CA6" w:rsidRPr="007F2D88">
        <w:rPr>
          <w:sz w:val="28"/>
          <w:szCs w:val="28"/>
        </w:rPr>
        <w:t>» на 2019-2021 годы»</w:t>
      </w:r>
      <w:r w:rsidR="00D44BE7" w:rsidRPr="007F2D88">
        <w:rPr>
          <w:sz w:val="28"/>
          <w:szCs w:val="28"/>
        </w:rPr>
        <w:t xml:space="preserve"> следующие изменения: </w:t>
      </w:r>
    </w:p>
    <w:p w:rsidR="00D44BE7" w:rsidRPr="007F2D88" w:rsidRDefault="00D44BE7" w:rsidP="00524C28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В </w:t>
      </w:r>
      <w:r w:rsidR="00CA4F38" w:rsidRPr="007F2D88">
        <w:rPr>
          <w:sz w:val="28"/>
          <w:szCs w:val="28"/>
        </w:rPr>
        <w:t>приложении к постановлению администрации Нижнеиретского муниципально</w:t>
      </w:r>
      <w:r w:rsidR="007F3DCD" w:rsidRPr="007F2D88">
        <w:rPr>
          <w:sz w:val="28"/>
          <w:szCs w:val="28"/>
        </w:rPr>
        <w:t>го образования от 17.05.2019 № 5</w:t>
      </w:r>
      <w:r w:rsidR="00CA4F38" w:rsidRPr="007F2D88">
        <w:rPr>
          <w:sz w:val="28"/>
          <w:szCs w:val="28"/>
        </w:rPr>
        <w:t xml:space="preserve">5 в </w:t>
      </w:r>
      <w:r w:rsidRPr="007F2D88">
        <w:rPr>
          <w:sz w:val="28"/>
          <w:szCs w:val="28"/>
        </w:rPr>
        <w:t>строке</w:t>
      </w:r>
      <w:r w:rsidR="00862741" w:rsidRPr="007F2D88">
        <w:rPr>
          <w:sz w:val="28"/>
          <w:szCs w:val="28"/>
        </w:rPr>
        <w:t xml:space="preserve"> 9 раздела 1 «</w:t>
      </w:r>
      <w:r w:rsidR="00961167" w:rsidRPr="007F2D88">
        <w:rPr>
          <w:sz w:val="28"/>
          <w:szCs w:val="28"/>
        </w:rPr>
        <w:t>Паспорт муниципальной Программы»</w:t>
      </w:r>
      <w:r w:rsidR="00A440A2" w:rsidRPr="007F2D88">
        <w:rPr>
          <w:sz w:val="28"/>
          <w:szCs w:val="28"/>
        </w:rPr>
        <w:t xml:space="preserve"> цифры 5276,5</w:t>
      </w:r>
      <w:r w:rsidR="00CA4F38" w:rsidRPr="007F2D88">
        <w:rPr>
          <w:sz w:val="28"/>
          <w:szCs w:val="28"/>
        </w:rPr>
        <w:t xml:space="preserve"> </w:t>
      </w:r>
      <w:r w:rsidR="00A440A2" w:rsidRPr="007F2D88">
        <w:rPr>
          <w:sz w:val="28"/>
          <w:szCs w:val="28"/>
        </w:rPr>
        <w:t>заменить цифрами 5076,4, цифры 1667,5 заменить цифрами 1467,4</w:t>
      </w:r>
      <w:r w:rsidR="00961167" w:rsidRPr="007F2D88">
        <w:rPr>
          <w:sz w:val="28"/>
          <w:szCs w:val="28"/>
        </w:rPr>
        <w:t>.</w:t>
      </w:r>
    </w:p>
    <w:p w:rsidR="00BB4218" w:rsidRPr="007F2D88" w:rsidRDefault="00961167" w:rsidP="00524C28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В таблице </w:t>
      </w:r>
      <w:r w:rsidR="00087BB4" w:rsidRPr="007F2D88">
        <w:rPr>
          <w:sz w:val="28"/>
          <w:szCs w:val="28"/>
        </w:rPr>
        <w:t>1 раздела 4 «Объем источни</w:t>
      </w:r>
      <w:r w:rsidR="00B72CEC" w:rsidRPr="007F2D88">
        <w:rPr>
          <w:sz w:val="28"/>
          <w:szCs w:val="28"/>
        </w:rPr>
        <w:t>ки финансирования муниципальной</w:t>
      </w:r>
      <w:r w:rsidR="00CA4F38" w:rsidRPr="007F2D88">
        <w:rPr>
          <w:sz w:val="28"/>
          <w:szCs w:val="28"/>
        </w:rPr>
        <w:t xml:space="preserve"> </w:t>
      </w:r>
      <w:r w:rsidR="009352B4" w:rsidRPr="007F2D88">
        <w:rPr>
          <w:sz w:val="28"/>
          <w:szCs w:val="28"/>
        </w:rPr>
        <w:t>программы» цифры 4622,3 заменить цифрами 4422,2, цифры 1181,3 заменить цифрами 981,2, цифры 443,0 заменить цифрами 453,0, цифры 295,0 заменить цифрами 305</w:t>
      </w:r>
      <w:r w:rsidR="00087BB4" w:rsidRPr="007F2D88">
        <w:rPr>
          <w:sz w:val="28"/>
          <w:szCs w:val="28"/>
        </w:rPr>
        <w:t>,0</w:t>
      </w:r>
      <w:r w:rsidR="009352B4" w:rsidRPr="007F2D88">
        <w:rPr>
          <w:sz w:val="28"/>
          <w:szCs w:val="28"/>
        </w:rPr>
        <w:t xml:space="preserve">, цифры 30,0 заменить цифрами 20,0, цифры 10 заменить цифрами 0. </w:t>
      </w:r>
    </w:p>
    <w:p w:rsidR="00CA4F38" w:rsidRPr="007F2D88" w:rsidRDefault="00CA4F38" w:rsidP="009F53E6">
      <w:pPr>
        <w:pStyle w:val="aff7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2. </w:t>
      </w:r>
      <w:r w:rsidR="00B25C7D" w:rsidRPr="007F2D88">
        <w:rPr>
          <w:sz w:val="28"/>
          <w:szCs w:val="28"/>
        </w:rPr>
        <w:t>Главному специа</w:t>
      </w:r>
      <w:r w:rsidR="00026CA6" w:rsidRPr="007F2D88">
        <w:rPr>
          <w:sz w:val="28"/>
          <w:szCs w:val="28"/>
        </w:rPr>
        <w:t>листу администрации Л.Г. Луковниковой</w:t>
      </w:r>
      <w:r w:rsidR="00A656C9" w:rsidRPr="007F2D88">
        <w:rPr>
          <w:sz w:val="28"/>
          <w:szCs w:val="28"/>
        </w:rPr>
        <w:t xml:space="preserve"> </w:t>
      </w:r>
      <w:r w:rsidR="00B25C7D" w:rsidRPr="007F2D88">
        <w:rPr>
          <w:sz w:val="28"/>
          <w:szCs w:val="28"/>
        </w:rPr>
        <w:t>опубликовать настоящее постановление с приложениями в</w:t>
      </w:r>
      <w:r w:rsidR="00026CA6" w:rsidRPr="007F2D88">
        <w:rPr>
          <w:sz w:val="28"/>
          <w:szCs w:val="28"/>
        </w:rPr>
        <w:t xml:space="preserve"> официальном издании «Нижнеиретский Вестник</w:t>
      </w:r>
      <w:r w:rsidR="00B25C7D" w:rsidRPr="007F2D88">
        <w:rPr>
          <w:sz w:val="28"/>
          <w:szCs w:val="28"/>
        </w:rPr>
        <w:t xml:space="preserve">» и </w:t>
      </w:r>
      <w:r w:rsidR="00026CA6" w:rsidRPr="007F2D88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7F2D88">
        <w:rPr>
          <w:sz w:val="28"/>
          <w:szCs w:val="28"/>
        </w:rPr>
        <w:t>»</w:t>
      </w:r>
      <w:r w:rsidR="00026CA6" w:rsidRPr="007F2D88">
        <w:rPr>
          <w:sz w:val="28"/>
          <w:szCs w:val="28"/>
        </w:rPr>
        <w:t xml:space="preserve"> в подразделе Нижнеиретского муниципального образования </w:t>
      </w:r>
      <w:r w:rsidR="00026CA6" w:rsidRPr="007F2D88">
        <w:rPr>
          <w:sz w:val="28"/>
          <w:szCs w:val="28"/>
        </w:rPr>
        <w:lastRenderedPageBreak/>
        <w:t xml:space="preserve">раздела «Поселения района» на официальном сайте Черемховского районного муниципального образования: </w:t>
      </w:r>
      <w:proofErr w:type="spellStart"/>
      <w:r w:rsidR="00052532" w:rsidRPr="007F2D88">
        <w:rPr>
          <w:sz w:val="28"/>
          <w:szCs w:val="28"/>
          <w:lang w:val="en-US"/>
        </w:rPr>
        <w:t>cher</w:t>
      </w:r>
      <w:proofErr w:type="spellEnd"/>
      <w:r w:rsidR="00052532" w:rsidRPr="007F2D88">
        <w:rPr>
          <w:sz w:val="28"/>
          <w:szCs w:val="28"/>
        </w:rPr>
        <w:t>.</w:t>
      </w:r>
      <w:proofErr w:type="spellStart"/>
      <w:r w:rsidR="00052532" w:rsidRPr="007F2D88">
        <w:rPr>
          <w:sz w:val="28"/>
          <w:szCs w:val="28"/>
          <w:lang w:val="en-US"/>
        </w:rPr>
        <w:t>irkobl</w:t>
      </w:r>
      <w:proofErr w:type="spellEnd"/>
      <w:r w:rsidR="00052532" w:rsidRPr="007F2D88">
        <w:rPr>
          <w:sz w:val="28"/>
          <w:szCs w:val="28"/>
        </w:rPr>
        <w:t>.</w:t>
      </w:r>
      <w:proofErr w:type="spellStart"/>
      <w:r w:rsidR="00052532" w:rsidRPr="007F2D88">
        <w:rPr>
          <w:sz w:val="28"/>
          <w:szCs w:val="28"/>
          <w:lang w:val="en-US"/>
        </w:rPr>
        <w:t>ru</w:t>
      </w:r>
      <w:proofErr w:type="spellEnd"/>
      <w:r w:rsidR="00B25C7D" w:rsidRPr="007F2D88">
        <w:rPr>
          <w:sz w:val="28"/>
          <w:szCs w:val="28"/>
        </w:rPr>
        <w:t>.</w:t>
      </w:r>
    </w:p>
    <w:p w:rsidR="00CA4F38" w:rsidRPr="007F2D88" w:rsidRDefault="008A7585" w:rsidP="009F53E6">
      <w:pPr>
        <w:pStyle w:val="aff7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3</w:t>
      </w:r>
      <w:r w:rsidR="00B25C7D" w:rsidRPr="007F2D88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7F2D88" w:rsidRDefault="008A7585" w:rsidP="009F53E6">
      <w:pPr>
        <w:pStyle w:val="aff7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4</w:t>
      </w:r>
      <w:r w:rsidR="008D657D" w:rsidRPr="007F2D88">
        <w:rPr>
          <w:sz w:val="28"/>
          <w:szCs w:val="28"/>
        </w:rPr>
        <w:t>.</w:t>
      </w:r>
      <w:r w:rsidR="00B25C7D" w:rsidRPr="007F2D88">
        <w:rPr>
          <w:sz w:val="28"/>
          <w:szCs w:val="28"/>
        </w:rPr>
        <w:t xml:space="preserve"> </w:t>
      </w:r>
      <w:proofErr w:type="gramStart"/>
      <w:r w:rsidR="00B25C7D" w:rsidRPr="007F2D88">
        <w:rPr>
          <w:sz w:val="28"/>
          <w:szCs w:val="28"/>
        </w:rPr>
        <w:t>Контроль за</w:t>
      </w:r>
      <w:proofErr w:type="gramEnd"/>
      <w:r w:rsidR="00B25C7D" w:rsidRPr="007F2D88">
        <w:rPr>
          <w:sz w:val="28"/>
          <w:szCs w:val="28"/>
        </w:rPr>
        <w:t xml:space="preserve"> исполнением данного постановления возложить на главу </w:t>
      </w:r>
      <w:r w:rsidR="00026CA6" w:rsidRPr="007F2D88">
        <w:rPr>
          <w:sz w:val="28"/>
          <w:szCs w:val="28"/>
        </w:rPr>
        <w:t>Нижнеиретского</w:t>
      </w:r>
      <w:r w:rsidR="00B25C7D" w:rsidRPr="007F2D88">
        <w:rPr>
          <w:sz w:val="28"/>
          <w:szCs w:val="28"/>
        </w:rPr>
        <w:t xml:space="preserve"> муниципал</w:t>
      </w:r>
      <w:r w:rsidR="00052532" w:rsidRPr="007F2D88">
        <w:rPr>
          <w:sz w:val="28"/>
          <w:szCs w:val="28"/>
        </w:rPr>
        <w:t>ьного образования В.В. Григорьева</w:t>
      </w:r>
      <w:r w:rsidR="00B25C7D" w:rsidRPr="007F2D88">
        <w:rPr>
          <w:sz w:val="28"/>
          <w:szCs w:val="28"/>
        </w:rPr>
        <w:t>.</w:t>
      </w:r>
    </w:p>
    <w:p w:rsidR="00B25C7D" w:rsidRPr="007F2D88" w:rsidRDefault="00B25C7D" w:rsidP="00524C28">
      <w:pPr>
        <w:ind w:firstLine="708"/>
        <w:jc w:val="both"/>
        <w:rPr>
          <w:sz w:val="28"/>
          <w:szCs w:val="28"/>
        </w:rPr>
      </w:pPr>
    </w:p>
    <w:p w:rsidR="008A7585" w:rsidRPr="007F2D88" w:rsidRDefault="008A7585" w:rsidP="00B25C7D">
      <w:pPr>
        <w:jc w:val="both"/>
        <w:rPr>
          <w:sz w:val="28"/>
          <w:szCs w:val="28"/>
        </w:rPr>
      </w:pPr>
    </w:p>
    <w:p w:rsidR="00B25C7D" w:rsidRPr="007F2D88" w:rsidRDefault="00B25C7D" w:rsidP="00B25C7D">
      <w:pPr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Глава </w:t>
      </w:r>
      <w:r w:rsidR="00026CA6" w:rsidRPr="007F2D88">
        <w:rPr>
          <w:sz w:val="28"/>
          <w:szCs w:val="28"/>
        </w:rPr>
        <w:t>Нижнеиретского</w:t>
      </w:r>
    </w:p>
    <w:p w:rsidR="007B01B9" w:rsidRPr="007F2D88" w:rsidRDefault="00B25C7D" w:rsidP="00524C28">
      <w:pPr>
        <w:jc w:val="both"/>
        <w:rPr>
          <w:sz w:val="28"/>
          <w:szCs w:val="28"/>
        </w:rPr>
      </w:pPr>
      <w:r w:rsidRPr="007F2D88">
        <w:rPr>
          <w:sz w:val="28"/>
          <w:szCs w:val="28"/>
        </w:rPr>
        <w:t>муниципального образования</w:t>
      </w:r>
      <w:r w:rsidRPr="007F2D88">
        <w:rPr>
          <w:sz w:val="28"/>
          <w:szCs w:val="28"/>
        </w:rPr>
        <w:tab/>
      </w:r>
      <w:r w:rsidRPr="007F2D88">
        <w:rPr>
          <w:sz w:val="28"/>
          <w:szCs w:val="28"/>
        </w:rPr>
        <w:tab/>
      </w:r>
      <w:r w:rsidRPr="007F2D88">
        <w:rPr>
          <w:sz w:val="28"/>
          <w:szCs w:val="28"/>
        </w:rPr>
        <w:tab/>
      </w:r>
      <w:r w:rsidRPr="007F2D88">
        <w:rPr>
          <w:sz w:val="28"/>
          <w:szCs w:val="28"/>
        </w:rPr>
        <w:tab/>
      </w:r>
      <w:r w:rsidRPr="007F2D88">
        <w:rPr>
          <w:sz w:val="28"/>
          <w:szCs w:val="28"/>
        </w:rPr>
        <w:tab/>
      </w:r>
      <w:r w:rsidRPr="007F2D88">
        <w:rPr>
          <w:sz w:val="28"/>
          <w:szCs w:val="28"/>
        </w:rPr>
        <w:tab/>
        <w:t xml:space="preserve">В.В. </w:t>
      </w:r>
      <w:r w:rsidR="007B01B9" w:rsidRPr="007F2D88">
        <w:rPr>
          <w:sz w:val="28"/>
          <w:szCs w:val="28"/>
        </w:rPr>
        <w:t>Григорьев</w:t>
      </w: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7F2D88" w:rsidRDefault="007F2D88" w:rsidP="00524C28">
      <w:pPr>
        <w:jc w:val="both"/>
      </w:pPr>
    </w:p>
    <w:p w:rsidR="000606E3" w:rsidRPr="00524C28" w:rsidRDefault="006A1730" w:rsidP="009F53E6">
      <w:pPr>
        <w:jc w:val="right"/>
      </w:pPr>
      <w:r w:rsidRPr="00524C28">
        <w:rPr>
          <w:b/>
        </w:rPr>
        <w:t>Приложение</w:t>
      </w:r>
    </w:p>
    <w:p w:rsidR="000606E3" w:rsidRPr="00524C28" w:rsidRDefault="000606E3" w:rsidP="00B66A31">
      <w:pPr>
        <w:ind w:left="5160"/>
        <w:jc w:val="right"/>
        <w:rPr>
          <w:b/>
        </w:rPr>
      </w:pPr>
      <w:r w:rsidRPr="00524C28">
        <w:rPr>
          <w:b/>
        </w:rPr>
        <w:t>к постановлени</w:t>
      </w:r>
      <w:r w:rsidR="006A1730" w:rsidRPr="00524C28">
        <w:rPr>
          <w:b/>
        </w:rPr>
        <w:t>ю</w:t>
      </w:r>
      <w:r w:rsidRPr="00524C28">
        <w:rPr>
          <w:b/>
        </w:rPr>
        <w:t xml:space="preserve"> администрации</w:t>
      </w:r>
    </w:p>
    <w:p w:rsidR="000606E3" w:rsidRPr="00524C28" w:rsidRDefault="00026CA6" w:rsidP="00B66A31">
      <w:pPr>
        <w:ind w:left="5160"/>
        <w:jc w:val="right"/>
        <w:rPr>
          <w:b/>
        </w:rPr>
      </w:pPr>
      <w:r w:rsidRPr="00524C28">
        <w:rPr>
          <w:b/>
        </w:rPr>
        <w:t>Нижнеиретского</w:t>
      </w:r>
      <w:r w:rsidR="000606E3" w:rsidRPr="00524C28">
        <w:rPr>
          <w:b/>
        </w:rPr>
        <w:t xml:space="preserve"> муниципального</w:t>
      </w:r>
    </w:p>
    <w:p w:rsidR="003B495D" w:rsidRPr="00524C28" w:rsidRDefault="00E72984" w:rsidP="00B66A31">
      <w:pPr>
        <w:ind w:left="5160"/>
        <w:jc w:val="right"/>
        <w:rPr>
          <w:b/>
        </w:rPr>
      </w:pPr>
      <w:r>
        <w:rPr>
          <w:b/>
        </w:rPr>
        <w:t>образования от 17.05</w:t>
      </w:r>
      <w:r w:rsidR="00A96517" w:rsidRPr="00524C28">
        <w:rPr>
          <w:b/>
        </w:rPr>
        <w:t>.2019 №</w:t>
      </w:r>
      <w:r>
        <w:rPr>
          <w:b/>
        </w:rPr>
        <w:t>55</w:t>
      </w:r>
    </w:p>
    <w:p w:rsidR="00BD2A49" w:rsidRPr="00524C28" w:rsidRDefault="00BD2A49" w:rsidP="005C28A6">
      <w:pPr>
        <w:ind w:left="5160"/>
        <w:rPr>
          <w:b/>
        </w:rPr>
      </w:pPr>
    </w:p>
    <w:p w:rsidR="00BD2A49" w:rsidRPr="00CA4F38" w:rsidRDefault="00BD2A49" w:rsidP="00BD2A49">
      <w:pPr>
        <w:jc w:val="center"/>
        <w:rPr>
          <w:b/>
          <w:sz w:val="28"/>
          <w:szCs w:val="28"/>
        </w:rPr>
      </w:pPr>
      <w:r w:rsidRPr="00CA4F38">
        <w:rPr>
          <w:b/>
          <w:sz w:val="28"/>
          <w:szCs w:val="28"/>
        </w:rPr>
        <w:t>Муниципальная программа</w:t>
      </w:r>
    </w:p>
    <w:p w:rsidR="00BD2A49" w:rsidRPr="00CA4F38" w:rsidRDefault="00DE2B79" w:rsidP="00DE2B79">
      <w:pPr>
        <w:jc w:val="center"/>
        <w:rPr>
          <w:b/>
          <w:sz w:val="28"/>
          <w:szCs w:val="28"/>
        </w:rPr>
      </w:pPr>
      <w:r w:rsidRPr="00CA4F38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CA4F38" w:rsidRDefault="00BD2A49" w:rsidP="005C28A6">
      <w:pPr>
        <w:ind w:left="5160"/>
        <w:rPr>
          <w:rFonts w:ascii="Arial" w:hAnsi="Arial" w:cs="Arial"/>
          <w:sz w:val="28"/>
          <w:szCs w:val="28"/>
        </w:rPr>
      </w:pPr>
    </w:p>
    <w:p w:rsidR="00BD2A49" w:rsidRPr="00CA4F38" w:rsidRDefault="00BD2A49" w:rsidP="00BD2A49">
      <w:pPr>
        <w:pStyle w:val="4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4F38">
        <w:rPr>
          <w:b/>
          <w:bCs/>
          <w:sz w:val="28"/>
          <w:szCs w:val="28"/>
        </w:rPr>
        <w:t>Раздел 1. ПАСПОРТ</w:t>
      </w:r>
      <w:r w:rsidRPr="00CA4F38">
        <w:rPr>
          <w:b/>
          <w:sz w:val="28"/>
          <w:szCs w:val="28"/>
        </w:rPr>
        <w:t xml:space="preserve"> </w:t>
      </w:r>
      <w:r w:rsidRPr="00CA4F38">
        <w:rPr>
          <w:b/>
          <w:bCs/>
          <w:sz w:val="28"/>
          <w:szCs w:val="28"/>
        </w:rPr>
        <w:t>МУНИЦИПАЛЬНОЙ ПРОГРАММЫ</w:t>
      </w:r>
    </w:p>
    <w:p w:rsidR="00BD2A49" w:rsidRPr="00CA4F38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524C28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524C28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Фе</w:t>
            </w:r>
            <w:r w:rsidR="00A96517" w:rsidRPr="00524C28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524C28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524C28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524C28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524C28">
              <w:rPr>
                <w:rFonts w:eastAsia="Calibri"/>
                <w:sz w:val="22"/>
                <w:szCs w:val="22"/>
              </w:rPr>
              <w:t>771-пп</w:t>
            </w:r>
            <w:r w:rsidRPr="00524C28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524C28">
              <w:rPr>
                <w:rFonts w:eastAsia="Calibri"/>
                <w:sz w:val="22"/>
                <w:szCs w:val="22"/>
              </w:rPr>
              <w:t xml:space="preserve"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</w:t>
            </w:r>
            <w:proofErr w:type="gramStart"/>
            <w:r w:rsidR="00B835BD" w:rsidRPr="00524C28">
              <w:rPr>
                <w:rFonts w:eastAsia="Calibri"/>
                <w:sz w:val="22"/>
                <w:szCs w:val="22"/>
              </w:rPr>
              <w:t>утратившими</w:t>
            </w:r>
            <w:proofErr w:type="gramEnd"/>
            <w:r w:rsidR="00B835BD" w:rsidRPr="00524C28">
              <w:rPr>
                <w:rFonts w:eastAsia="Calibri"/>
                <w:sz w:val="22"/>
                <w:szCs w:val="22"/>
              </w:rPr>
              <w:t xml:space="preserve"> силу отдельных постановлений Правительства Иркутской области</w:t>
            </w:r>
            <w:r w:rsidRPr="00524C28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524C28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524C28" w:rsidRDefault="00152236" w:rsidP="00152236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524C28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24C28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524C28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Объем и источники финансирования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 xml:space="preserve">Общий объем финансирования Программы </w:t>
            </w:r>
            <w:r w:rsidR="009352B4">
              <w:rPr>
                <w:rStyle w:val="11"/>
                <w:rFonts w:eastAsia="Calibri"/>
                <w:sz w:val="22"/>
                <w:szCs w:val="22"/>
              </w:rPr>
              <w:t xml:space="preserve">5076,40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тыс. рублей, в том числе: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объем финансирования Программы по годам: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9352B4">
              <w:rPr>
                <w:rStyle w:val="11"/>
                <w:rFonts w:eastAsia="Calibri"/>
                <w:sz w:val="22"/>
                <w:szCs w:val="22"/>
              </w:rPr>
              <w:t>1467,4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2096,0</w:t>
            </w:r>
            <w:r w:rsidR="0043738B" w:rsidRPr="00524C28">
              <w:rPr>
                <w:rStyle w:val="11"/>
                <w:rFonts w:eastAsia="Calibri"/>
                <w:sz w:val="22"/>
                <w:szCs w:val="22"/>
              </w:rPr>
              <w:t>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9352B4">
              <w:rPr>
                <w:rStyle w:val="11"/>
                <w:rFonts w:eastAsia="Calibri"/>
                <w:sz w:val="22"/>
                <w:szCs w:val="22"/>
              </w:rPr>
              <w:t>5076,40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9352B4">
              <w:rPr>
                <w:rStyle w:val="11"/>
                <w:rFonts w:eastAsia="Calibri"/>
                <w:sz w:val="22"/>
                <w:szCs w:val="22"/>
              </w:rPr>
              <w:t>1467,4</w:t>
            </w:r>
            <w:r w:rsidR="00961167" w:rsidRPr="00524C28">
              <w:rPr>
                <w:rStyle w:val="11"/>
                <w:rFonts w:eastAsia="Calibri"/>
                <w:sz w:val="22"/>
                <w:szCs w:val="22"/>
              </w:rPr>
              <w:t>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00 тыс. рублей.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б)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в)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г)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524C28" w:rsidRDefault="00464067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F2D88" w:rsidRDefault="001D2607" w:rsidP="00A400A1">
      <w:pPr>
        <w:pStyle w:val="1"/>
        <w:rPr>
          <w:color w:val="000000"/>
          <w:szCs w:val="28"/>
        </w:rPr>
      </w:pPr>
      <w:r w:rsidRPr="007F2D88">
        <w:rPr>
          <w:color w:val="000000"/>
          <w:szCs w:val="28"/>
        </w:rPr>
        <w:t xml:space="preserve">Раздел </w:t>
      </w:r>
      <w:r w:rsidR="00BD2A49" w:rsidRPr="007F2D88">
        <w:rPr>
          <w:color w:val="000000"/>
          <w:szCs w:val="28"/>
        </w:rPr>
        <w:t>2</w:t>
      </w:r>
      <w:r w:rsidR="00F00605" w:rsidRPr="007F2D88">
        <w:rPr>
          <w:color w:val="000000"/>
          <w:szCs w:val="28"/>
        </w:rPr>
        <w:t>.</w:t>
      </w:r>
      <w:r w:rsidR="00682655" w:rsidRPr="007F2D88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7F2D88" w:rsidRDefault="006621B5" w:rsidP="00E01C2D">
      <w:pPr>
        <w:jc w:val="both"/>
        <w:rPr>
          <w:sz w:val="28"/>
          <w:szCs w:val="28"/>
        </w:rPr>
      </w:pPr>
    </w:p>
    <w:p w:rsidR="004A0C3E" w:rsidRPr="007F2D88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7F2D88">
        <w:rPr>
          <w:sz w:val="28"/>
          <w:szCs w:val="28"/>
        </w:rPr>
        <w:t>Нижнеиретского</w:t>
      </w:r>
      <w:r w:rsidRPr="007F2D88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</w:t>
      </w:r>
      <w:r w:rsidR="00A96517" w:rsidRPr="007F2D88">
        <w:rPr>
          <w:color w:val="000000"/>
          <w:sz w:val="28"/>
          <w:szCs w:val="28"/>
        </w:rPr>
        <w:t>кутской области от 16.12.2004 №</w:t>
      </w:r>
      <w:r w:rsidRPr="007F2D88">
        <w:rPr>
          <w:color w:val="000000"/>
          <w:sz w:val="28"/>
          <w:szCs w:val="28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7F2D88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7F2D88">
        <w:rPr>
          <w:sz w:val="28"/>
          <w:szCs w:val="28"/>
        </w:rPr>
        <w:t>Нижнеиретское</w:t>
      </w:r>
      <w:r w:rsidRPr="007F2D88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7F2D88">
        <w:rPr>
          <w:sz w:val="28"/>
          <w:szCs w:val="28"/>
        </w:rPr>
        <w:t>Нижнеиретского</w:t>
      </w:r>
      <w:r w:rsidRPr="007F2D88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7F2D88">
        <w:rPr>
          <w:sz w:val="28"/>
          <w:szCs w:val="28"/>
        </w:rPr>
        <w:t>Нижнеиретского</w:t>
      </w:r>
      <w:r w:rsidRPr="007F2D88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7F2D88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7F2D88">
        <w:rPr>
          <w:color w:val="000000"/>
          <w:sz w:val="28"/>
          <w:szCs w:val="28"/>
        </w:rPr>
        <w:t xml:space="preserve">В состав </w:t>
      </w:r>
      <w:r w:rsidRPr="007F2D88">
        <w:rPr>
          <w:sz w:val="28"/>
          <w:szCs w:val="28"/>
        </w:rPr>
        <w:t>Нижнеиретского</w:t>
      </w:r>
      <w:r w:rsidRPr="007F2D88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</w:t>
      </w:r>
      <w:proofErr w:type="gramStart"/>
      <w:r w:rsidRPr="007F2D88">
        <w:rPr>
          <w:color w:val="000000"/>
          <w:sz w:val="28"/>
          <w:szCs w:val="28"/>
        </w:rPr>
        <w:t>Нижняя</w:t>
      </w:r>
      <w:proofErr w:type="gramEnd"/>
      <w:r w:rsidRPr="007F2D88">
        <w:rPr>
          <w:color w:val="000000"/>
          <w:sz w:val="28"/>
          <w:szCs w:val="28"/>
        </w:rPr>
        <w:t xml:space="preserve"> Иреть (центр), д. </w:t>
      </w:r>
      <w:proofErr w:type="spellStart"/>
      <w:r w:rsidRPr="007F2D88">
        <w:rPr>
          <w:color w:val="000000"/>
          <w:sz w:val="28"/>
          <w:szCs w:val="28"/>
        </w:rPr>
        <w:t>Бажей</w:t>
      </w:r>
      <w:proofErr w:type="spellEnd"/>
      <w:r w:rsidRPr="007F2D88">
        <w:rPr>
          <w:color w:val="000000"/>
          <w:sz w:val="28"/>
          <w:szCs w:val="28"/>
        </w:rPr>
        <w:t xml:space="preserve">, </w:t>
      </w:r>
      <w:proofErr w:type="spellStart"/>
      <w:r w:rsidRPr="007F2D88">
        <w:rPr>
          <w:color w:val="000000"/>
          <w:sz w:val="28"/>
          <w:szCs w:val="28"/>
        </w:rPr>
        <w:t>з</w:t>
      </w:r>
      <w:proofErr w:type="spellEnd"/>
      <w:r w:rsidRPr="007F2D88">
        <w:rPr>
          <w:color w:val="000000"/>
          <w:sz w:val="28"/>
          <w:szCs w:val="28"/>
        </w:rPr>
        <w:t xml:space="preserve">. Гусева, </w:t>
      </w:r>
      <w:proofErr w:type="spellStart"/>
      <w:r w:rsidRPr="007F2D88">
        <w:rPr>
          <w:color w:val="000000"/>
          <w:sz w:val="28"/>
          <w:szCs w:val="28"/>
        </w:rPr>
        <w:t>з</w:t>
      </w:r>
      <w:proofErr w:type="spellEnd"/>
      <w:r w:rsidRPr="007F2D88">
        <w:rPr>
          <w:color w:val="000000"/>
          <w:sz w:val="28"/>
          <w:szCs w:val="28"/>
        </w:rPr>
        <w:t xml:space="preserve">. Шестакова, </w:t>
      </w:r>
      <w:proofErr w:type="spellStart"/>
      <w:r w:rsidRPr="007F2D88">
        <w:rPr>
          <w:color w:val="000000"/>
          <w:sz w:val="28"/>
          <w:szCs w:val="28"/>
        </w:rPr>
        <w:t>з</w:t>
      </w:r>
      <w:proofErr w:type="spellEnd"/>
      <w:r w:rsidRPr="007F2D88">
        <w:rPr>
          <w:color w:val="000000"/>
          <w:sz w:val="28"/>
          <w:szCs w:val="28"/>
        </w:rPr>
        <w:t xml:space="preserve">. Невидимова, п. Паточный, п. </w:t>
      </w:r>
      <w:proofErr w:type="spellStart"/>
      <w:r w:rsidRPr="007F2D88">
        <w:rPr>
          <w:color w:val="000000"/>
          <w:sz w:val="28"/>
          <w:szCs w:val="28"/>
        </w:rPr>
        <w:t>Большебельск</w:t>
      </w:r>
      <w:proofErr w:type="spellEnd"/>
      <w:r w:rsidRPr="007F2D88">
        <w:rPr>
          <w:color w:val="000000"/>
          <w:sz w:val="28"/>
          <w:szCs w:val="28"/>
        </w:rPr>
        <w:t>.</w:t>
      </w:r>
    </w:p>
    <w:p w:rsidR="004A0C3E" w:rsidRPr="007F2D88" w:rsidRDefault="00932E80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7F2D88">
        <w:rPr>
          <w:rFonts w:eastAsia="Calibri"/>
          <w:sz w:val="28"/>
          <w:szCs w:val="28"/>
          <w:lang w:eastAsia="en-US"/>
        </w:rPr>
        <w:t xml:space="preserve">      </w:t>
      </w:r>
      <w:r w:rsidR="004A0C3E" w:rsidRPr="007F2D88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="004A0C3E" w:rsidRPr="007F2D88">
        <w:rPr>
          <w:rFonts w:eastAsia="Calibri"/>
          <w:spacing w:val="5"/>
          <w:sz w:val="28"/>
          <w:szCs w:val="28"/>
          <w:lang w:eastAsia="en-US"/>
        </w:rPr>
        <w:t xml:space="preserve">граничит с </w:t>
      </w:r>
      <w:proofErr w:type="spellStart"/>
      <w:r w:rsidR="004A0C3E" w:rsidRPr="007F2D88">
        <w:rPr>
          <w:rFonts w:eastAsia="Calibri"/>
          <w:spacing w:val="5"/>
          <w:sz w:val="28"/>
          <w:szCs w:val="28"/>
          <w:lang w:eastAsia="en-US"/>
        </w:rPr>
        <w:t>Аларским</w:t>
      </w:r>
      <w:proofErr w:type="spellEnd"/>
      <w:r w:rsidR="004A0C3E" w:rsidRPr="007F2D88">
        <w:rPr>
          <w:rFonts w:eastAsia="Calibri"/>
          <w:spacing w:val="5"/>
          <w:sz w:val="28"/>
          <w:szCs w:val="28"/>
          <w:lang w:eastAsia="en-US"/>
        </w:rPr>
        <w:t xml:space="preserve"> районом Усть-Ордынского Бурятского Автономного Округа, на востоке – с </w:t>
      </w:r>
      <w:proofErr w:type="spellStart"/>
      <w:r w:rsidR="004A0C3E" w:rsidRPr="007F2D88">
        <w:rPr>
          <w:rFonts w:eastAsia="Calibri"/>
          <w:spacing w:val="5"/>
          <w:sz w:val="28"/>
          <w:szCs w:val="28"/>
          <w:lang w:eastAsia="en-US"/>
        </w:rPr>
        <w:t>Парфеновским</w:t>
      </w:r>
      <w:proofErr w:type="spellEnd"/>
      <w:r w:rsidR="004A0C3E" w:rsidRPr="007F2D88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поселением, на юге – с </w:t>
      </w:r>
      <w:proofErr w:type="spellStart"/>
      <w:r w:rsidR="004A0C3E" w:rsidRPr="007F2D88">
        <w:rPr>
          <w:rFonts w:eastAsia="Calibri"/>
          <w:spacing w:val="5"/>
          <w:sz w:val="28"/>
          <w:szCs w:val="28"/>
          <w:lang w:eastAsia="en-US"/>
        </w:rPr>
        <w:t>Тальниковским</w:t>
      </w:r>
      <w:proofErr w:type="spellEnd"/>
      <w:r w:rsidR="004A0C3E" w:rsidRPr="007F2D88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поселением, на западе – с </w:t>
      </w:r>
      <w:proofErr w:type="spellStart"/>
      <w:r w:rsidR="004A0C3E" w:rsidRPr="007F2D88">
        <w:rPr>
          <w:rFonts w:eastAsia="Calibri"/>
          <w:spacing w:val="5"/>
          <w:sz w:val="28"/>
          <w:szCs w:val="28"/>
          <w:lang w:eastAsia="en-US"/>
        </w:rPr>
        <w:t>Голуметским</w:t>
      </w:r>
      <w:proofErr w:type="spellEnd"/>
      <w:r w:rsidR="004A0C3E" w:rsidRPr="007F2D88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</w:t>
      </w:r>
      <w:r w:rsidR="004A0C3E" w:rsidRPr="007F2D88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7F2D88" w:rsidRDefault="004A0C3E" w:rsidP="004A0C3E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F2D88">
        <w:rPr>
          <w:rFonts w:ascii="Times New Roman" w:hAnsi="Times New Roman"/>
          <w:sz w:val="28"/>
          <w:szCs w:val="28"/>
        </w:rPr>
        <w:t xml:space="preserve"> </w:t>
      </w:r>
      <w:r w:rsidRPr="007F2D88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7F2D88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A0C3E" w:rsidRPr="007F2D88" w:rsidRDefault="004A0C3E" w:rsidP="004A0C3E">
      <w:pPr>
        <w:ind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Внешние связи Нижнеиретского </w:t>
      </w:r>
      <w:r w:rsidRPr="007F2D88">
        <w:rPr>
          <w:color w:val="242424"/>
          <w:sz w:val="28"/>
          <w:szCs w:val="28"/>
        </w:rPr>
        <w:t>муниципального образования</w:t>
      </w:r>
      <w:r w:rsidRPr="007F2D88">
        <w:rPr>
          <w:sz w:val="28"/>
          <w:szCs w:val="28"/>
        </w:rPr>
        <w:t xml:space="preserve"> поддерживаются круглогодично автомобильным транспортом. </w:t>
      </w:r>
      <w:proofErr w:type="gramStart"/>
      <w:r w:rsidRPr="007F2D88">
        <w:rPr>
          <w:sz w:val="28"/>
          <w:szCs w:val="28"/>
        </w:rPr>
        <w:t xml:space="preserve">Расстояние от с. Нижней </w:t>
      </w:r>
      <w:proofErr w:type="spellStart"/>
      <w:r w:rsidRPr="007F2D88">
        <w:rPr>
          <w:sz w:val="28"/>
          <w:szCs w:val="28"/>
        </w:rPr>
        <w:t>Ирети</w:t>
      </w:r>
      <w:proofErr w:type="spellEnd"/>
      <w:r w:rsidRPr="007F2D88">
        <w:rPr>
          <w:sz w:val="28"/>
          <w:szCs w:val="28"/>
        </w:rPr>
        <w:t xml:space="preserve"> до административного центра района г. Черемхово по автодороге – 63,7 км, расстояние от г. Черемхово до областного центра г. Иркутск – 198 км.</w:t>
      </w:r>
      <w:proofErr w:type="gramEnd"/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F2D88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7F2D88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7F2D88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F2D88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F2D88">
        <w:rPr>
          <w:rFonts w:ascii="Times New Roman" w:hAnsi="Times New Roman"/>
          <w:sz w:val="28"/>
          <w:szCs w:val="28"/>
        </w:rPr>
        <w:t xml:space="preserve">- «Автодорога </w:t>
      </w:r>
      <w:proofErr w:type="spellStart"/>
      <w:proofErr w:type="gramStart"/>
      <w:r w:rsidRPr="007F2D88">
        <w:rPr>
          <w:rFonts w:ascii="Times New Roman" w:hAnsi="Times New Roman"/>
          <w:sz w:val="28"/>
          <w:szCs w:val="28"/>
        </w:rPr>
        <w:t>Черемхово-Нижняя</w:t>
      </w:r>
      <w:proofErr w:type="spellEnd"/>
      <w:proofErr w:type="gramEnd"/>
      <w:r w:rsidRPr="007F2D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D88">
        <w:rPr>
          <w:rFonts w:ascii="Times New Roman" w:hAnsi="Times New Roman"/>
          <w:sz w:val="28"/>
          <w:szCs w:val="28"/>
        </w:rPr>
        <w:t>Иреть-Онот</w:t>
      </w:r>
      <w:proofErr w:type="spellEnd"/>
      <w:r w:rsidRPr="007F2D88">
        <w:rPr>
          <w:rFonts w:ascii="Times New Roman" w:hAnsi="Times New Roman"/>
          <w:sz w:val="28"/>
          <w:szCs w:val="28"/>
        </w:rPr>
        <w:t>» протяженность – 5,6 км.;</w:t>
      </w: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F2D88">
        <w:rPr>
          <w:rFonts w:ascii="Times New Roman" w:hAnsi="Times New Roman"/>
          <w:sz w:val="28"/>
          <w:szCs w:val="28"/>
        </w:rPr>
        <w:t xml:space="preserve">- «Автодорога </w:t>
      </w:r>
      <w:proofErr w:type="spellStart"/>
      <w:proofErr w:type="gramStart"/>
      <w:r w:rsidRPr="007F2D88">
        <w:rPr>
          <w:rFonts w:ascii="Times New Roman" w:hAnsi="Times New Roman"/>
          <w:sz w:val="28"/>
          <w:szCs w:val="28"/>
        </w:rPr>
        <w:t>Черемхово-Нижняя</w:t>
      </w:r>
      <w:proofErr w:type="spellEnd"/>
      <w:proofErr w:type="gramEnd"/>
      <w:r w:rsidRPr="007F2D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D88">
        <w:rPr>
          <w:rFonts w:ascii="Times New Roman" w:hAnsi="Times New Roman"/>
          <w:sz w:val="28"/>
          <w:szCs w:val="28"/>
        </w:rPr>
        <w:t>Иреть-Тальники</w:t>
      </w:r>
      <w:proofErr w:type="spellEnd"/>
      <w:r w:rsidRPr="007F2D88">
        <w:rPr>
          <w:rFonts w:ascii="Times New Roman" w:hAnsi="Times New Roman"/>
          <w:sz w:val="28"/>
          <w:szCs w:val="28"/>
        </w:rPr>
        <w:t>» протяженность - 8,8 км.</w:t>
      </w: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F2D88">
        <w:rPr>
          <w:rFonts w:ascii="Times New Roman" w:hAnsi="Times New Roman"/>
          <w:sz w:val="28"/>
          <w:szCs w:val="28"/>
        </w:rPr>
        <w:lastRenderedPageBreak/>
        <w:t xml:space="preserve">Одной из основных проблем автодорожной сети Нижнеиретского </w:t>
      </w:r>
      <w:r w:rsidRPr="007F2D88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7F2D88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C3E" w:rsidRPr="007F2D88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F2D88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7F2D88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7F2D88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7F2D88" w:rsidRDefault="00F00605" w:rsidP="00F00605">
      <w:pPr>
        <w:jc w:val="both"/>
        <w:rPr>
          <w:sz w:val="28"/>
          <w:szCs w:val="28"/>
        </w:rPr>
      </w:pPr>
    </w:p>
    <w:p w:rsidR="00F00605" w:rsidRPr="007F2D88" w:rsidRDefault="001D2607" w:rsidP="00932E80">
      <w:pPr>
        <w:pStyle w:val="1"/>
        <w:rPr>
          <w:color w:val="000000"/>
          <w:szCs w:val="28"/>
        </w:rPr>
      </w:pPr>
      <w:r w:rsidRPr="007F2D88">
        <w:rPr>
          <w:color w:val="000000"/>
          <w:szCs w:val="28"/>
        </w:rPr>
        <w:t xml:space="preserve">Раздел </w:t>
      </w:r>
      <w:r w:rsidR="00682655" w:rsidRPr="007F2D88">
        <w:rPr>
          <w:color w:val="000000"/>
          <w:szCs w:val="28"/>
        </w:rPr>
        <w:t xml:space="preserve">3. Цели и </w:t>
      </w:r>
      <w:r w:rsidR="00F00605" w:rsidRPr="007F2D88">
        <w:rPr>
          <w:color w:val="000000"/>
          <w:szCs w:val="28"/>
        </w:rPr>
        <w:t xml:space="preserve">задачи </w:t>
      </w:r>
      <w:r w:rsidR="00682655" w:rsidRPr="007F2D88">
        <w:rPr>
          <w:color w:val="000000"/>
          <w:szCs w:val="28"/>
        </w:rPr>
        <w:t xml:space="preserve">муниципальной </w:t>
      </w:r>
      <w:r w:rsidR="00F00605" w:rsidRPr="007F2D88">
        <w:rPr>
          <w:color w:val="000000"/>
          <w:szCs w:val="28"/>
        </w:rPr>
        <w:t>программы</w:t>
      </w:r>
    </w:p>
    <w:p w:rsidR="00932E80" w:rsidRPr="007F2D88" w:rsidRDefault="00932E80" w:rsidP="00932E80">
      <w:pPr>
        <w:jc w:val="both"/>
        <w:rPr>
          <w:sz w:val="28"/>
          <w:szCs w:val="28"/>
        </w:rPr>
      </w:pPr>
    </w:p>
    <w:p w:rsidR="004B1E0B" w:rsidRPr="007F2D88" w:rsidRDefault="00932E80" w:rsidP="00932E80">
      <w:pPr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            </w:t>
      </w:r>
      <w:r w:rsidR="004B1E0B" w:rsidRPr="007F2D88">
        <w:rPr>
          <w:sz w:val="28"/>
          <w:szCs w:val="28"/>
        </w:rPr>
        <w:t>Цел</w:t>
      </w:r>
      <w:r w:rsidR="00E01C2D" w:rsidRPr="007F2D88">
        <w:rPr>
          <w:sz w:val="28"/>
          <w:szCs w:val="28"/>
        </w:rPr>
        <w:t>ь</w:t>
      </w:r>
      <w:r w:rsidR="004B1E0B" w:rsidRPr="007F2D88">
        <w:rPr>
          <w:sz w:val="28"/>
          <w:szCs w:val="28"/>
        </w:rPr>
        <w:t xml:space="preserve"> программы:</w:t>
      </w:r>
    </w:p>
    <w:p w:rsidR="00523403" w:rsidRPr="007F2D88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7F2D88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7F2D88">
        <w:rPr>
          <w:rFonts w:eastAsia="Calibri"/>
          <w:color w:val="000000"/>
          <w:sz w:val="28"/>
          <w:szCs w:val="28"/>
        </w:rPr>
        <w:t>Нижнеиретского</w:t>
      </w:r>
      <w:r w:rsidRPr="007F2D88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7F2D88" w:rsidRDefault="00651875" w:rsidP="00651875">
      <w:pPr>
        <w:ind w:firstLine="851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7F2D88" w:rsidRDefault="00651875" w:rsidP="00651875">
      <w:pPr>
        <w:ind w:firstLine="851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7F2D88" w:rsidRDefault="00651875" w:rsidP="00651875">
      <w:pPr>
        <w:ind w:firstLine="851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7F2D88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7F2D88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7F2D88" w:rsidRDefault="00523403" w:rsidP="00523403">
      <w:pPr>
        <w:ind w:firstLine="360"/>
        <w:jc w:val="center"/>
        <w:rPr>
          <w:b/>
          <w:sz w:val="28"/>
          <w:szCs w:val="28"/>
        </w:rPr>
      </w:pPr>
    </w:p>
    <w:p w:rsidR="00523403" w:rsidRPr="007F2D88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7F2D88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7F2D88" w:rsidRDefault="00523403" w:rsidP="00523403">
      <w:pPr>
        <w:jc w:val="both"/>
        <w:rPr>
          <w:sz w:val="28"/>
          <w:szCs w:val="28"/>
        </w:rPr>
      </w:pPr>
    </w:p>
    <w:p w:rsidR="00523403" w:rsidRPr="007F2D88" w:rsidRDefault="00523403" w:rsidP="00523403">
      <w:pPr>
        <w:ind w:firstLine="851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7F2D88">
        <w:rPr>
          <w:sz w:val="28"/>
          <w:szCs w:val="28"/>
        </w:rPr>
        <w:t>Нижнеиретского</w:t>
      </w:r>
      <w:r w:rsidRPr="007F2D88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</w:t>
      </w:r>
      <w:proofErr w:type="gramStart"/>
      <w:r w:rsidRPr="007F2D88">
        <w:rPr>
          <w:sz w:val="28"/>
          <w:szCs w:val="28"/>
        </w:rPr>
        <w:t xml:space="preserve"> .</w:t>
      </w:r>
      <w:proofErr w:type="gramEnd"/>
    </w:p>
    <w:p w:rsidR="00523403" w:rsidRPr="007F2D88" w:rsidRDefault="00523403" w:rsidP="00523403">
      <w:pPr>
        <w:ind w:firstLine="851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7F2D88">
        <w:rPr>
          <w:sz w:val="28"/>
          <w:szCs w:val="28"/>
        </w:rPr>
        <w:t>Нижнеиретского</w:t>
      </w:r>
      <w:r w:rsidRPr="007F2D88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F2D88" w:rsidRDefault="00523403" w:rsidP="00523403">
      <w:pPr>
        <w:ind w:firstLine="851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Общий срок реализации программы: 2019 - 2021 годы.</w:t>
      </w:r>
    </w:p>
    <w:p w:rsidR="00682655" w:rsidRPr="007F2D88" w:rsidRDefault="00682655" w:rsidP="00F00605">
      <w:pPr>
        <w:ind w:firstLine="851"/>
        <w:jc w:val="both"/>
        <w:rPr>
          <w:sz w:val="28"/>
          <w:szCs w:val="28"/>
        </w:rPr>
      </w:pPr>
    </w:p>
    <w:p w:rsidR="00F00605" w:rsidRPr="007F2D88" w:rsidRDefault="00821117" w:rsidP="00F00605">
      <w:pPr>
        <w:ind w:firstLine="360"/>
        <w:jc w:val="center"/>
        <w:rPr>
          <w:b/>
          <w:sz w:val="28"/>
          <w:szCs w:val="28"/>
        </w:rPr>
      </w:pPr>
      <w:r w:rsidRPr="007F2D88">
        <w:rPr>
          <w:b/>
          <w:sz w:val="28"/>
          <w:szCs w:val="28"/>
        </w:rPr>
        <w:t xml:space="preserve">Раздел </w:t>
      </w:r>
      <w:r w:rsidR="00523403" w:rsidRPr="007F2D88">
        <w:rPr>
          <w:b/>
          <w:sz w:val="28"/>
          <w:szCs w:val="28"/>
        </w:rPr>
        <w:t>5</w:t>
      </w:r>
      <w:r w:rsidRPr="007F2D88">
        <w:rPr>
          <w:b/>
          <w:sz w:val="28"/>
          <w:szCs w:val="28"/>
        </w:rPr>
        <w:t xml:space="preserve">. </w:t>
      </w:r>
      <w:r w:rsidR="00EA029B" w:rsidRPr="007F2D88">
        <w:rPr>
          <w:b/>
          <w:sz w:val="28"/>
          <w:szCs w:val="28"/>
        </w:rPr>
        <w:t xml:space="preserve"> </w:t>
      </w:r>
      <w:r w:rsidRPr="007F2D88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7B01B9" w:rsidRDefault="008F58BA" w:rsidP="00F00605">
      <w:pPr>
        <w:ind w:firstLine="851"/>
        <w:jc w:val="both"/>
        <w:rPr>
          <w:rFonts w:ascii="Arial" w:hAnsi="Arial" w:cs="Arial"/>
        </w:rPr>
      </w:pPr>
    </w:p>
    <w:p w:rsidR="002633BE" w:rsidRPr="007F2D88" w:rsidRDefault="002633BE" w:rsidP="002633BE">
      <w:pPr>
        <w:ind w:firstLine="708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Количественные показатели результативности </w:t>
      </w:r>
      <w:r w:rsidR="00BB3244" w:rsidRPr="007F2D88">
        <w:rPr>
          <w:rFonts w:eastAsia="Calibri"/>
          <w:sz w:val="28"/>
          <w:szCs w:val="28"/>
        </w:rPr>
        <w:t>Программы</w:t>
      </w:r>
      <w:r w:rsidRPr="007F2D88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7F2D88">
        <w:rPr>
          <w:sz w:val="28"/>
          <w:szCs w:val="28"/>
        </w:rPr>
        <w:t xml:space="preserve">Приложении </w:t>
      </w:r>
      <w:r w:rsidR="00651875" w:rsidRPr="007F2D88">
        <w:rPr>
          <w:sz w:val="28"/>
          <w:szCs w:val="28"/>
        </w:rPr>
        <w:t>2</w:t>
      </w:r>
      <w:r w:rsidRPr="007F2D88">
        <w:rPr>
          <w:sz w:val="28"/>
          <w:szCs w:val="28"/>
        </w:rPr>
        <w:t xml:space="preserve"> к муниципальной программе.</w:t>
      </w:r>
    </w:p>
    <w:p w:rsidR="008F58BA" w:rsidRPr="007F2D88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Оценка </w:t>
      </w:r>
      <w:proofErr w:type="gramStart"/>
      <w:r w:rsidRPr="007F2D88">
        <w:rPr>
          <w:sz w:val="28"/>
          <w:szCs w:val="28"/>
        </w:rPr>
        <w:t>степени достижения ожидаемых результатов реализации муниципальной программы</w:t>
      </w:r>
      <w:proofErr w:type="gramEnd"/>
      <w:r w:rsidRPr="007F2D88">
        <w:rPr>
          <w:sz w:val="28"/>
          <w:szCs w:val="28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B01B9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B01B9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32828942" r:id="rId9"/>
        </w:object>
      </w:r>
      <w:r w:rsidRPr="007B01B9">
        <w:rPr>
          <w:sz w:val="24"/>
          <w:szCs w:val="24"/>
        </w:rPr>
        <w:t xml:space="preserve"> ,</w:t>
      </w:r>
    </w:p>
    <w:p w:rsidR="008F58BA" w:rsidRPr="007F2D8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F2D8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lastRenderedPageBreak/>
        <w:t>Ф – фактически достигнутое значение показателя результативности;</w:t>
      </w:r>
    </w:p>
    <w:p w:rsidR="008F58BA" w:rsidRPr="007F2D8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F2D88">
        <w:rPr>
          <w:sz w:val="28"/>
          <w:szCs w:val="28"/>
        </w:rPr>
        <w:t>П</w:t>
      </w:r>
      <w:proofErr w:type="gramEnd"/>
      <w:r w:rsidRPr="007F2D88">
        <w:rPr>
          <w:sz w:val="28"/>
          <w:szCs w:val="28"/>
        </w:rPr>
        <w:t xml:space="preserve"> – плановое значение показателя результативности.</w:t>
      </w:r>
    </w:p>
    <w:p w:rsidR="008F58BA" w:rsidRPr="007F2D8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F2D88">
        <w:rPr>
          <w:sz w:val="28"/>
          <w:szCs w:val="28"/>
        </w:rPr>
        <w:t>П</w:t>
      </w:r>
      <w:proofErr w:type="gramEnd"/>
      <w:r w:rsidRPr="007F2D88">
        <w:rPr>
          <w:sz w:val="28"/>
          <w:szCs w:val="28"/>
        </w:rPr>
        <w:t xml:space="preserve"> в формуле меняются местами.</w:t>
      </w:r>
    </w:p>
    <w:p w:rsidR="008F58BA" w:rsidRPr="007F2D88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Уровень достигнутых результат</w:t>
      </w:r>
      <w:r w:rsidR="004830FF" w:rsidRPr="007F2D88">
        <w:rPr>
          <w:sz w:val="28"/>
          <w:szCs w:val="28"/>
        </w:rPr>
        <w:t>ов реализации муниципальной про</w:t>
      </w:r>
      <w:r w:rsidRPr="007F2D88">
        <w:rPr>
          <w:sz w:val="28"/>
          <w:szCs w:val="28"/>
        </w:rPr>
        <w:t>граммы в целом определяется по формуле:</w:t>
      </w:r>
    </w:p>
    <w:p w:rsidR="008F58BA" w:rsidRPr="007B01B9" w:rsidRDefault="008F58BA" w:rsidP="008F58BA">
      <w:pPr>
        <w:autoSpaceDE w:val="0"/>
        <w:autoSpaceDN w:val="0"/>
        <w:adjustRightInd w:val="0"/>
        <w:jc w:val="center"/>
      </w:pPr>
      <w:r w:rsidRPr="007B01B9">
        <w:rPr>
          <w:position w:val="-54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32828943" r:id="rId11"/>
        </w:object>
      </w:r>
      <w:r w:rsidRPr="007B01B9">
        <w:t xml:space="preserve"> ,</w:t>
      </w:r>
    </w:p>
    <w:p w:rsidR="008F58BA" w:rsidRPr="007F2D8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2D88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7F2D8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B01B9">
        <w:rPr>
          <w:sz w:val="24"/>
          <w:szCs w:val="24"/>
        </w:rPr>
        <w:t>О</w:t>
      </w:r>
      <w:proofErr w:type="gramStart"/>
      <w:r w:rsidRPr="007B01B9">
        <w:rPr>
          <w:sz w:val="24"/>
          <w:szCs w:val="24"/>
          <w:vertAlign w:val="subscript"/>
        </w:rPr>
        <w:t>1</w:t>
      </w:r>
      <w:proofErr w:type="gramEnd"/>
      <w:r w:rsidRPr="007B01B9">
        <w:rPr>
          <w:sz w:val="24"/>
          <w:szCs w:val="24"/>
        </w:rPr>
        <w:t>, О</w:t>
      </w:r>
      <w:r w:rsidRPr="007B01B9">
        <w:rPr>
          <w:sz w:val="24"/>
          <w:szCs w:val="24"/>
          <w:vertAlign w:val="subscript"/>
        </w:rPr>
        <w:t>2</w:t>
      </w:r>
      <w:r w:rsidRPr="007B01B9">
        <w:rPr>
          <w:sz w:val="24"/>
          <w:szCs w:val="24"/>
        </w:rPr>
        <w:t>, О</w:t>
      </w:r>
      <w:r w:rsidRPr="007B01B9">
        <w:rPr>
          <w:sz w:val="24"/>
          <w:szCs w:val="24"/>
          <w:vertAlign w:val="subscript"/>
        </w:rPr>
        <w:t>3</w:t>
      </w:r>
      <w:r w:rsidRPr="007B01B9">
        <w:rPr>
          <w:sz w:val="24"/>
          <w:szCs w:val="24"/>
        </w:rPr>
        <w:t xml:space="preserve">, … – </w:t>
      </w:r>
      <w:r w:rsidRPr="007F2D88">
        <w:rPr>
          <w:sz w:val="28"/>
          <w:szCs w:val="28"/>
        </w:rPr>
        <w:t>зна</w:t>
      </w:r>
      <w:r w:rsidR="007B01B9" w:rsidRPr="007F2D88">
        <w:rPr>
          <w:sz w:val="28"/>
          <w:szCs w:val="28"/>
        </w:rPr>
        <w:t xml:space="preserve">чения оценки степени достижения </w:t>
      </w:r>
      <w:r w:rsidRPr="007F2D88">
        <w:rPr>
          <w:sz w:val="28"/>
          <w:szCs w:val="28"/>
        </w:rPr>
        <w:t>ожидаемого ре</w:t>
      </w:r>
      <w:r w:rsidRPr="007F2D88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CA4F38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F2D88">
        <w:rPr>
          <w:sz w:val="28"/>
          <w:szCs w:val="28"/>
        </w:rPr>
        <w:t>К</w:t>
      </w:r>
      <w:proofErr w:type="gramEnd"/>
      <w:r w:rsidRPr="007F2D88">
        <w:rPr>
          <w:sz w:val="28"/>
          <w:szCs w:val="28"/>
        </w:rPr>
        <w:t xml:space="preserve"> – </w:t>
      </w:r>
      <w:proofErr w:type="gramStart"/>
      <w:r w:rsidRPr="007F2D88">
        <w:rPr>
          <w:sz w:val="28"/>
          <w:szCs w:val="28"/>
        </w:rPr>
        <w:t>количество</w:t>
      </w:r>
      <w:proofErr w:type="gramEnd"/>
      <w:r w:rsidRPr="007F2D88">
        <w:rPr>
          <w:sz w:val="28"/>
          <w:szCs w:val="28"/>
        </w:rPr>
        <w:t xml:space="preserve"> показателей результатив</w:t>
      </w:r>
      <w:r w:rsidRPr="00CA4F38">
        <w:rPr>
          <w:sz w:val="28"/>
          <w:szCs w:val="28"/>
        </w:rPr>
        <w:t>ности.</w:t>
      </w:r>
    </w:p>
    <w:p w:rsidR="00651875" w:rsidRPr="00CA4F38" w:rsidRDefault="00651875" w:rsidP="005B2A97">
      <w:pPr>
        <w:ind w:firstLine="851"/>
        <w:jc w:val="both"/>
        <w:rPr>
          <w:sz w:val="28"/>
          <w:szCs w:val="28"/>
        </w:rPr>
        <w:sectPr w:rsidR="00651875" w:rsidRPr="00CA4F38" w:rsidSect="009F53E6">
          <w:headerReference w:type="default" r:id="rId12"/>
          <w:headerReference w:type="first" r:id="rId13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EA5EFF" w:rsidRDefault="00EA5EFF" w:rsidP="005B2A97">
      <w:pPr>
        <w:ind w:firstLine="851"/>
        <w:jc w:val="both"/>
      </w:pPr>
    </w:p>
    <w:p w:rsidR="00F31BC7" w:rsidRPr="007A0B20" w:rsidRDefault="00F31BC7" w:rsidP="005B2A97">
      <w:pPr>
        <w:ind w:firstLine="851"/>
        <w:jc w:val="both"/>
      </w:pPr>
    </w:p>
    <w:p w:rsidR="007A0B20" w:rsidRPr="00524C28" w:rsidRDefault="00F31BC7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Приложение</w:t>
      </w:r>
      <w:r w:rsidR="00A96517" w:rsidRPr="00524C28">
        <w:rPr>
          <w:sz w:val="22"/>
          <w:szCs w:val="22"/>
        </w:rPr>
        <w:t xml:space="preserve"> №</w:t>
      </w:r>
      <w:r w:rsidR="00651875" w:rsidRPr="00524C28">
        <w:rPr>
          <w:sz w:val="22"/>
          <w:szCs w:val="22"/>
        </w:rPr>
        <w:t>1</w:t>
      </w:r>
    </w:p>
    <w:p w:rsidR="007A0B20" w:rsidRPr="00524C28" w:rsidRDefault="00DA189A" w:rsidP="00F31BC7">
      <w:pPr>
        <w:ind w:left="10116" w:firstLine="504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524C28">
        <w:rPr>
          <w:sz w:val="22"/>
          <w:szCs w:val="22"/>
        </w:rPr>
        <w:t>униципальной программе</w:t>
      </w:r>
    </w:p>
    <w:p w:rsidR="007A0B20" w:rsidRPr="00524C28" w:rsidRDefault="00026CA6" w:rsidP="00F31BC7">
      <w:pPr>
        <w:ind w:left="10116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Нижнеиретского</w:t>
      </w:r>
      <w:r w:rsidR="00F31BC7" w:rsidRPr="00524C28">
        <w:rPr>
          <w:sz w:val="22"/>
          <w:szCs w:val="22"/>
        </w:rPr>
        <w:t xml:space="preserve"> </w:t>
      </w:r>
      <w:r w:rsidR="007A0B20" w:rsidRPr="00524C28">
        <w:rPr>
          <w:sz w:val="22"/>
          <w:szCs w:val="22"/>
        </w:rPr>
        <w:t>сельского поселения</w:t>
      </w:r>
    </w:p>
    <w:p w:rsidR="00651875" w:rsidRPr="00524C28" w:rsidRDefault="00651875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«Развитие дорожного хозяйства</w:t>
      </w:r>
    </w:p>
    <w:p w:rsidR="00BB3244" w:rsidRPr="00524C28" w:rsidRDefault="00BB3244" w:rsidP="00F31BC7">
      <w:pPr>
        <w:jc w:val="right"/>
        <w:rPr>
          <w:sz w:val="22"/>
          <w:szCs w:val="22"/>
        </w:rPr>
      </w:pPr>
      <w:r w:rsidRPr="00524C28">
        <w:rPr>
          <w:sz w:val="22"/>
          <w:szCs w:val="22"/>
        </w:rPr>
        <w:t xml:space="preserve">на территории </w:t>
      </w:r>
      <w:r w:rsidR="00026CA6" w:rsidRPr="00524C28">
        <w:rPr>
          <w:sz w:val="22"/>
          <w:szCs w:val="22"/>
        </w:rPr>
        <w:t>Нижнеиретского</w:t>
      </w:r>
    </w:p>
    <w:p w:rsidR="007A0B20" w:rsidRPr="00F31BC7" w:rsidRDefault="00651875" w:rsidP="00F31BC7">
      <w:pPr>
        <w:jc w:val="right"/>
        <w:rPr>
          <w:rFonts w:ascii="Courier New" w:hAnsi="Courier New" w:cs="Courier New"/>
          <w:sz w:val="22"/>
          <w:szCs w:val="22"/>
        </w:rPr>
      </w:pPr>
      <w:r w:rsidRPr="00524C28">
        <w:rPr>
          <w:sz w:val="22"/>
          <w:szCs w:val="22"/>
        </w:rPr>
        <w:t>сельского</w:t>
      </w:r>
      <w:r w:rsidR="00BB3244" w:rsidRPr="00524C28">
        <w:rPr>
          <w:sz w:val="22"/>
          <w:szCs w:val="22"/>
        </w:rPr>
        <w:t xml:space="preserve"> </w:t>
      </w:r>
      <w:r w:rsidRPr="00524C28">
        <w:rPr>
          <w:sz w:val="22"/>
          <w:szCs w:val="22"/>
        </w:rPr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BA3876" w:rsidRDefault="007A0B20" w:rsidP="00B66A31">
      <w:pPr>
        <w:jc w:val="center"/>
        <w:rPr>
          <w:b/>
          <w:sz w:val="28"/>
          <w:szCs w:val="28"/>
        </w:rPr>
      </w:pPr>
      <w:r w:rsidRPr="00BA3876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66A31" w:rsidRPr="00B66A31" w:rsidRDefault="00B66A31" w:rsidP="00B66A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1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189A">
              <w:rPr>
                <w:sz w:val="22"/>
                <w:szCs w:val="22"/>
              </w:rPr>
              <w:t>/</w:t>
            </w:r>
            <w:proofErr w:type="spellStart"/>
            <w:r w:rsidRPr="00DA1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Ответствен</w:t>
            </w:r>
            <w:r w:rsidRPr="00DA189A">
              <w:rPr>
                <w:sz w:val="22"/>
                <w:szCs w:val="22"/>
              </w:rPr>
              <w:softHyphen/>
              <w:t>ный исполни</w:t>
            </w:r>
            <w:r w:rsidRPr="00DA189A">
              <w:rPr>
                <w:sz w:val="22"/>
                <w:szCs w:val="22"/>
              </w:rPr>
              <w:softHyphen/>
              <w:t>тель, соис</w:t>
            </w:r>
            <w:r w:rsidRPr="00DA189A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За весь пе</w:t>
            </w:r>
            <w:r w:rsidRPr="00DA189A">
              <w:rPr>
                <w:sz w:val="22"/>
                <w:szCs w:val="22"/>
              </w:rPr>
              <w:softHyphen/>
              <w:t>риод реализа</w:t>
            </w:r>
            <w:r w:rsidRPr="00DA189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</w:t>
            </w:r>
          </w:p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15954"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DA189A" w:rsidRDefault="00713405" w:rsidP="00DE4224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- содержание дорог, с регулярным </w:t>
            </w:r>
            <w:proofErr w:type="spellStart"/>
            <w:r w:rsidRPr="00DA189A">
              <w:rPr>
                <w:sz w:val="22"/>
                <w:szCs w:val="22"/>
              </w:rPr>
              <w:t>грейдерованием</w:t>
            </w:r>
            <w:proofErr w:type="spellEnd"/>
            <w:r w:rsidRPr="00DA189A">
              <w:rPr>
                <w:sz w:val="22"/>
                <w:szCs w:val="22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932E8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087BB4" w:rsidRPr="00DA189A">
              <w:rPr>
                <w:bCs/>
                <w:color w:val="000000"/>
                <w:sz w:val="22"/>
                <w:szCs w:val="22"/>
              </w:rPr>
              <w:t>22,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932E80" w:rsidP="00932E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981,2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932E8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087BB4" w:rsidRPr="00DA189A">
              <w:rPr>
                <w:bCs/>
                <w:color w:val="000000"/>
                <w:sz w:val="22"/>
                <w:szCs w:val="22"/>
              </w:rPr>
              <w:t>22,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932E8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981,2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</w:t>
            </w:r>
            <w:r w:rsidR="00651875" w:rsidRPr="00DA189A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DA189A" w:rsidRDefault="00AF6852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Уличное освещение</w:t>
            </w:r>
            <w:r w:rsidR="00713405" w:rsidRPr="00DA1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Администраци</w:t>
            </w:r>
            <w:r w:rsidRPr="00DA189A">
              <w:rPr>
                <w:sz w:val="22"/>
                <w:szCs w:val="22"/>
              </w:rPr>
              <w:lastRenderedPageBreak/>
              <w:t xml:space="preserve">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443,0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7BB4" w:rsidRPr="00DA189A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B66A31" w:rsidRDefault="00AF6852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1875" w:rsidRPr="00DA189A" w:rsidRDefault="00FA001E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F34DB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</w:t>
            </w:r>
            <w:r w:rsidRPr="00B66A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189A">
              <w:rPr>
                <w:sz w:val="22"/>
                <w:szCs w:val="22"/>
                <w:lang w:eastAsia="en-US"/>
              </w:rPr>
              <w:lastRenderedPageBreak/>
              <w:t>образования Черемховского района Иркутской области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15954" w:rsidRPr="00DA189A">
              <w:rPr>
                <w:sz w:val="22"/>
                <w:szCs w:val="22"/>
              </w:rPr>
              <w:t>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15954" w:rsidRPr="00DA189A">
              <w:rPr>
                <w:sz w:val="22"/>
                <w:szCs w:val="22"/>
              </w:rPr>
              <w:t>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  <w:r w:rsidR="00932E80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 xml:space="preserve">Оценка технического состояния и </w:t>
            </w:r>
            <w:proofErr w:type="gramStart"/>
            <w:r w:rsidRPr="00DA189A">
              <w:rPr>
                <w:sz w:val="22"/>
                <w:szCs w:val="22"/>
                <w:lang w:eastAsia="en-US"/>
              </w:rPr>
              <w:t>паспортизации</w:t>
            </w:r>
            <w:proofErr w:type="gramEnd"/>
            <w:r w:rsidRPr="00DA189A">
              <w:rPr>
                <w:sz w:val="22"/>
                <w:szCs w:val="22"/>
                <w:lang w:eastAsia="en-US"/>
              </w:rPr>
              <w:t xml:space="preserve">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  <w:r w:rsidR="00651875"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181,2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932E80" w:rsidP="000F3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Default="00B66A31" w:rsidP="00B66A31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DA189A" w:rsidRDefault="00B66A31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Приложение № 2</w:t>
      </w:r>
    </w:p>
    <w:p w:rsidR="007A0B20" w:rsidRPr="00DA189A" w:rsidRDefault="007A0B20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к Муниципальной программе</w:t>
      </w:r>
    </w:p>
    <w:p w:rsidR="007A0B20" w:rsidRPr="00DA189A" w:rsidRDefault="00026CA6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Нижнеиретского</w:t>
      </w:r>
      <w:r w:rsidR="007A0B20" w:rsidRPr="00DA189A">
        <w:rPr>
          <w:sz w:val="22"/>
          <w:szCs w:val="22"/>
        </w:rPr>
        <w:t xml:space="preserve"> сельского поселения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«Развитие дорожного хозяйства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 xml:space="preserve">на территории </w:t>
      </w:r>
      <w:r w:rsidR="00026CA6" w:rsidRPr="00DA189A">
        <w:rPr>
          <w:sz w:val="22"/>
          <w:szCs w:val="22"/>
        </w:rPr>
        <w:t>Нижнеиретского</w:t>
      </w:r>
      <w:r w:rsidRPr="00DA189A">
        <w:rPr>
          <w:sz w:val="22"/>
          <w:szCs w:val="22"/>
        </w:rPr>
        <w:t xml:space="preserve"> </w:t>
      </w:r>
      <w:proofErr w:type="gramStart"/>
      <w:r w:rsidRPr="00DA189A">
        <w:rPr>
          <w:sz w:val="22"/>
          <w:szCs w:val="22"/>
        </w:rPr>
        <w:t>сельского</w:t>
      </w:r>
      <w:proofErr w:type="gramEnd"/>
    </w:p>
    <w:p w:rsidR="000A5EDA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BA3876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bookmarkStart w:id="0" w:name="_GoBack"/>
      <w:r w:rsidRPr="00BA3876">
        <w:rPr>
          <w:sz w:val="28"/>
          <w:szCs w:val="28"/>
        </w:rPr>
        <w:t xml:space="preserve">ПОКАЗАТЕЛИ РЕЗУЛЬТАТИВНОСТИ </w:t>
      </w:r>
    </w:p>
    <w:p w:rsidR="000A5EDA" w:rsidRPr="00BA3876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A3876">
        <w:rPr>
          <w:sz w:val="28"/>
          <w:szCs w:val="28"/>
        </w:rPr>
        <w:t>МУНИЦИПАЛЬНОЙ ПРОГРАММЫ</w:t>
      </w:r>
    </w:p>
    <w:bookmarkEnd w:id="0"/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9F53E6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1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189A">
              <w:rPr>
                <w:sz w:val="22"/>
                <w:szCs w:val="22"/>
              </w:rPr>
              <w:t>/</w:t>
            </w:r>
            <w:proofErr w:type="spellStart"/>
            <w:r w:rsidRPr="00DA1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Наименование показа</w:t>
            </w:r>
            <w:r w:rsidRPr="00DA189A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Ед. </w:t>
            </w:r>
            <w:proofErr w:type="spellStart"/>
            <w:r w:rsidRPr="00DA189A">
              <w:rPr>
                <w:sz w:val="22"/>
                <w:szCs w:val="22"/>
              </w:rPr>
              <w:t>изм</w:t>
            </w:r>
            <w:proofErr w:type="spellEnd"/>
            <w:r w:rsidRPr="00DA189A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9F53E6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7A7576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</w:t>
            </w:r>
            <w:r w:rsidR="000A5EDA" w:rsidRPr="00DA189A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9F53E6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B66A31" w:rsidRDefault="000A5EDA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DA189A" w:rsidRDefault="00822A93" w:rsidP="00822A93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9F53E6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1 </w:t>
            </w:r>
            <w:r w:rsidR="006E7180" w:rsidRPr="00DA189A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9F53E6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464067">
            <w:pPr>
              <w:pStyle w:val="af2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822A93" w:rsidRPr="00B66A31">
              <w:rPr>
                <w:rFonts w:ascii="Courier New" w:hAnsi="Courier New" w:cs="Courier New"/>
                <w:sz w:val="22"/>
                <w:szCs w:val="22"/>
              </w:rPr>
              <w:t>оличеств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22A93" w:rsidRPr="00B66A31">
              <w:rPr>
                <w:rFonts w:ascii="Courier New" w:hAnsi="Courier New" w:cs="Courier New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822A93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6E7180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</w:tr>
      <w:tr w:rsidR="000A5EDA" w:rsidRPr="000A5EDA" w:rsidTr="009F53E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2. </w:t>
            </w:r>
            <w:r w:rsidR="006E7180" w:rsidRPr="00DA189A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9F53E6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7A7576" w:rsidP="00464067">
            <w:pPr>
              <w:pStyle w:val="af2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991A54" w:rsidP="007A7576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6A31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</w:tr>
      <w:tr w:rsidR="006E7180" w:rsidRPr="000A5EDA" w:rsidTr="009F53E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DA189A" w:rsidRDefault="006E7180" w:rsidP="00CF271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3. </w:t>
            </w:r>
            <w:r w:rsidR="00CF2715" w:rsidRPr="00DA189A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9F53E6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B66A31" w:rsidRDefault="006E7180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B66A31" w:rsidRDefault="00464067" w:rsidP="00FE062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CF271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CF271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69" w:rsidRDefault="00965B69">
      <w:r>
        <w:separator/>
      </w:r>
    </w:p>
  </w:endnote>
  <w:endnote w:type="continuationSeparator" w:id="0">
    <w:p w:rsidR="00965B69" w:rsidRDefault="0096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69" w:rsidRDefault="00965B69">
      <w:r>
        <w:separator/>
      </w:r>
    </w:p>
  </w:footnote>
  <w:footnote w:type="continuationSeparator" w:id="0">
    <w:p w:rsidR="00965B69" w:rsidRDefault="0096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577E93" w:rsidP="00FA2055">
    <w:pPr>
      <w:pStyle w:val="a5"/>
      <w:jc w:val="center"/>
    </w:pPr>
    <w:r>
      <w:fldChar w:fldCharType="begin"/>
    </w:r>
    <w:r w:rsidR="00CC032A">
      <w:instrText xml:space="preserve"> PAGE   \* MERGEFORMAT </w:instrText>
    </w:r>
    <w:r>
      <w:fldChar w:fldCharType="separate"/>
    </w:r>
    <w:r w:rsidR="009F53E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BE6E2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1F2"/>
    <w:rsid w:val="00067EF4"/>
    <w:rsid w:val="000729B0"/>
    <w:rsid w:val="00073189"/>
    <w:rsid w:val="00075009"/>
    <w:rsid w:val="0007707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320A"/>
    <w:rsid w:val="00354372"/>
    <w:rsid w:val="00354701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38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1428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4C28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9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7CC4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25E"/>
    <w:rsid w:val="00713405"/>
    <w:rsid w:val="00714796"/>
    <w:rsid w:val="00717765"/>
    <w:rsid w:val="007224FD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1AE7"/>
    <w:rsid w:val="007A3DEC"/>
    <w:rsid w:val="007A4641"/>
    <w:rsid w:val="007A7106"/>
    <w:rsid w:val="007A72FC"/>
    <w:rsid w:val="007A7576"/>
    <w:rsid w:val="007B01B9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2D88"/>
    <w:rsid w:val="007F3146"/>
    <w:rsid w:val="007F326E"/>
    <w:rsid w:val="007F3A6C"/>
    <w:rsid w:val="007F3DCD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253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2E80"/>
    <w:rsid w:val="009352B4"/>
    <w:rsid w:val="00936036"/>
    <w:rsid w:val="009362D1"/>
    <w:rsid w:val="009369BF"/>
    <w:rsid w:val="0094306B"/>
    <w:rsid w:val="00943A7D"/>
    <w:rsid w:val="00946999"/>
    <w:rsid w:val="00946CD7"/>
    <w:rsid w:val="00953073"/>
    <w:rsid w:val="00961167"/>
    <w:rsid w:val="009636F1"/>
    <w:rsid w:val="00965B69"/>
    <w:rsid w:val="009677BE"/>
    <w:rsid w:val="00970318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3E6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40A2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0FDF"/>
    <w:rsid w:val="00BA3876"/>
    <w:rsid w:val="00BA39DA"/>
    <w:rsid w:val="00BA6101"/>
    <w:rsid w:val="00BB0339"/>
    <w:rsid w:val="00BB233D"/>
    <w:rsid w:val="00BB2834"/>
    <w:rsid w:val="00BB3244"/>
    <w:rsid w:val="00BB4218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399F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29E"/>
    <w:rsid w:val="00C95419"/>
    <w:rsid w:val="00CA4114"/>
    <w:rsid w:val="00CA4F38"/>
    <w:rsid w:val="00CA56D6"/>
    <w:rsid w:val="00CA5DAC"/>
    <w:rsid w:val="00CA6002"/>
    <w:rsid w:val="00CB2C79"/>
    <w:rsid w:val="00CB2E7E"/>
    <w:rsid w:val="00CB3704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078C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25C21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2984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33F7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D4D5-3AC1-4786-9BE7-8E072340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1501</Words>
  <Characters>11989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39</cp:revision>
  <cp:lastPrinted>2019-10-17T06:46:00Z</cp:lastPrinted>
  <dcterms:created xsi:type="dcterms:W3CDTF">2019-02-21T08:25:00Z</dcterms:created>
  <dcterms:modified xsi:type="dcterms:W3CDTF">2019-10-17T06:49:00Z</dcterms:modified>
</cp:coreProperties>
</file>